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6192"/>
        <w:gridCol w:w="4320"/>
      </w:tblGrid>
      <w:tr>
        <w:trPr>
          <w:trHeight w:val="12672"/>
        </w:trPr>
        <w:tc>
          <w:tcPr>
            <w:tcW w:type="dxa" w:w="5328"/>
            <w:shd w:fill="0E1829"/>
            <w:tcMar>
              <w:top w:w="360" w:type="dxa"/>
              <w:start w:w="290" w:type="dxa"/>
              <w:bottom w:w="360" w:type="dxa"/>
              <w:end w:w="290" w:type="dxa"/>
            </w:tcMar>
            <w:tcBorders>
              <w:top w:val="nil"/>
              <w:bottom w:val="nil"/>
              <w:left w:val="nil"/>
              <w:right w:val="nil"/>
            </w:tcBorders>
            <w:vAlign w:val="center"/>
          </w:tcPr>
          <w:p/>
          <w:p>
            <w:pPr>
              <w:spacing w:before="0" w:after="360"/>
            </w:pPr>
            <w:r>
              <w:rPr>
                <w:rFonts w:ascii="Aptos" w:hAnsi="Aptos" w:eastAsia="Aptos"/>
                <w:b/>
                <w:color w:val="D1B36A"/>
                <w:sz w:val="18"/>
              </w:rPr>
              <w:t>MEDIA KIT</w:t>
            </w:r>
          </w:p>
          <w:p>
            <w:pPr>
              <w:spacing w:before="0" w:after="200" w:line="228" w:lineRule="auto"/>
            </w:pPr>
            <w:r>
              <w:rPr>
                <w:rFonts w:ascii="Georgia" w:hAnsi="Georgia" w:eastAsia="Georgia"/>
                <w:color w:val="FFFFFF"/>
                <w:sz w:val="84"/>
              </w:rPr>
              <w:t>ED</w:t>
              <w:br/>
              <w:t>GASKEY</w:t>
            </w:r>
          </w:p>
          <w:p>
            <w:pPr>
              <w:spacing w:before="0" w:after="440"/>
            </w:pPr>
            <w:r>
              <w:rPr>
                <w:rFonts w:ascii="Aptos" w:hAnsi="Aptos" w:eastAsia="Aptos"/>
                <w:b/>
                <w:color w:val="D1B36A"/>
                <w:sz w:val="22"/>
              </w:rPr>
              <w:t>AUTHOR · ADVISOR</w:t>
            </w:r>
          </w:p>
          <w:p>
            <w:pPr>
              <w:spacing w:before="0" w:after="200"/>
            </w:pPr>
            <w:r>
              <w:rPr>
                <w:rFonts w:ascii="Georgia" w:hAnsi="Georgia" w:eastAsia="Georgia"/>
                <w:i/>
                <w:color w:val="FFFFFF"/>
                <w:sz w:val="40"/>
              </w:rPr>
              <w:t>Creating Your Next Chapter</w:t>
            </w:r>
          </w:p>
          <w:p>
            <w:pPr>
              <w:spacing w:before="0" w:after="520" w:line="336" w:lineRule="auto"/>
            </w:pPr>
            <w:r>
              <w:rPr>
                <w:rFonts w:ascii="Aptos" w:hAnsi="Aptos" w:eastAsia="Aptos"/>
                <w:color w:val="D9E0EC"/>
                <w:sz w:val="22"/>
              </w:rPr>
              <w:t>Conversations about clarity, purpose, transition, retirement, and intentionally creating what comes next.</w:t>
            </w:r>
          </w:p>
          <w:p>
            <w:pPr>
              <w:spacing w:before="0" w:after="80"/>
            </w:pPr>
            <w:hyperlink r:id="rId11">
              <w:r>
                <w:rPr>
                  <w:color w:val="D1B36A"/>
                  <w:b/>
                </w:rPr>
                <w:t>edgaskey.com</w:t>
              </w:r>
            </w:hyperlink>
          </w:p>
          <w:p>
            <w:r>
              <w:rPr>
                <w:rFonts w:ascii="Aptos" w:hAnsi="Aptos" w:eastAsia="Aptos"/>
                <w:color w:val="AAB4C5"/>
                <w:sz w:val="16"/>
              </w:rPr>
              <w:t>Prepared August 2026</w:t>
            </w:r>
          </w:p>
        </w:tc>
        <w:tc>
          <w:tcPr>
            <w:tcW w:type="dxa" w:w="5328"/>
            <w:shd w:fill="0E1829"/>
            <w:tcMar>
              <w:top w:w="360" w:type="dxa"/>
              <w:start w:w="290" w:type="dxa"/>
              <w:bottom w:w="360" w:type="dxa"/>
              <w:end w:w="290" w:type="dxa"/>
            </w:tcMar>
            <w:tcBorders>
              <w:top w:val="nil"/>
              <w:bottom w:val="nil"/>
              <w:left w:val="nil"/>
              <w:right w:val="nil"/>
            </w:tcBorders>
            <w:vAlign w:val="center"/>
          </w:tcPr>
          <w:p/>
          <w:p>
            <w:pPr>
              <w:spacing w:before="0" w:after="280"/>
              <w:jc w:val="center"/>
            </w:pPr>
            <w:r>
              <w:drawing>
                <wp:inline xmlns:a="http://schemas.openxmlformats.org/drawingml/2006/main" xmlns:pic="http://schemas.openxmlformats.org/drawingml/2006/picture">
                  <wp:extent cx="2487168" cy="3790787"/>
                  <wp:docPr id="1" name="Picture 1" descr="Portrait of Ed Gaskey"/>
                  <wp:cNvGraphicFramePr>
                    <a:graphicFrameLocks noChangeAspect="1"/>
                  </wp:cNvGraphicFramePr>
                  <a:graphic>
                    <a:graphicData uri="http://schemas.openxmlformats.org/drawingml/2006/picture">
                      <pic:pic>
                        <pic:nvPicPr>
                          <pic:cNvPr id="0" name="eds-headshot.jpg"/>
                          <pic:cNvPicPr/>
                        </pic:nvPicPr>
                        <pic:blipFill>
                          <a:blip r:embed="rId12"/>
                          <a:stretch>
                            <a:fillRect/>
                          </a:stretch>
                        </pic:blipFill>
                        <pic:spPr>
                          <a:xfrm>
                            <a:off x="0" y="0"/>
                            <a:ext cx="2487168" cy="3790787"/>
                          </a:xfrm>
                          <a:prstGeom prst="rect"/>
                        </pic:spPr>
                      </pic:pic>
                    </a:graphicData>
                  </a:graphic>
                </wp:inline>
              </w:drawing>
            </w:r>
          </w:p>
          <w:p>
            <w:pPr>
              <w:jc w:val="center"/>
            </w:pPr>
            <w:r>
              <w:drawing>
                <wp:inline xmlns:a="http://schemas.openxmlformats.org/drawingml/2006/main" xmlns:pic="http://schemas.openxmlformats.org/drawingml/2006/picture">
                  <wp:extent cx="1417320" cy="2130202"/>
                  <wp:docPr id="2" name="Picture 2" descr="Creating Your Next Chapter book cover"/>
                  <wp:cNvGraphicFramePr>
                    <a:graphicFrameLocks noChangeAspect="1"/>
                  </wp:cNvGraphicFramePr>
                  <a:graphic>
                    <a:graphicData uri="http://schemas.openxmlformats.org/drawingml/2006/picture">
                      <pic:pic>
                        <pic:nvPicPr>
                          <pic:cNvPr id="0" name="book-cover.png"/>
                          <pic:cNvPicPr/>
                        </pic:nvPicPr>
                        <pic:blipFill>
                          <a:blip r:embed="rId13"/>
                          <a:stretch>
                            <a:fillRect/>
                          </a:stretch>
                        </pic:blipFill>
                        <pic:spPr>
                          <a:xfrm>
                            <a:off x="0" y="0"/>
                            <a:ext cx="1417320" cy="2130202"/>
                          </a:xfrm>
                          <a:prstGeom prst="rect"/>
                        </pic:spPr>
                      </pic:pic>
                    </a:graphicData>
                  </a:graphic>
                </wp:inline>
              </w:drawing>
            </w:r>
          </w:p>
        </w:tc>
      </w:tr>
    </w:tbl>
    <w:p>
      <w:r>
        <w:br w:type="page"/>
      </w:r>
    </w:p>
    <w:p>
      <w:pPr>
        <w:spacing w:before="0" w:after="140"/>
        <w:jc w:val="left"/>
      </w:pPr>
      <w:r>
        <w:rPr>
          <w:rFonts w:ascii="Aptos" w:hAnsi="Aptos" w:eastAsia="Aptos"/>
          <w:b/>
          <w:color w:val="5574B8"/>
          <w:sz w:val="17"/>
        </w:rPr>
        <w:t>AT A GLANCE</w:t>
      </w:r>
    </w:p>
    <w:p>
      <w:pPr>
        <w:spacing w:before="0" w:after="220" w:line="252" w:lineRule="auto"/>
        <w:jc w:val="left"/>
      </w:pPr>
      <w:r>
        <w:rPr>
          <w:rFonts w:ascii="Georgia" w:hAnsi="Georgia" w:eastAsia="Georgia"/>
          <w:b w:val="0"/>
          <w:color w:val="202A3B"/>
          <w:sz w:val="60"/>
        </w:rPr>
        <w:t>Ed Gaskey</w:t>
      </w:r>
    </w:p>
    <w:p>
      <w:pPr>
        <w:spacing w:before="0" w:after="320"/>
      </w:pPr>
      <w:r>
        <w:rPr>
          <w:rFonts w:ascii="Aptos" w:hAnsi="Aptos" w:eastAsia="Aptos"/>
          <w:b/>
          <w:color w:val="5574B8"/>
          <w:sz w:val="24"/>
        </w:rPr>
        <w:t>Author · Advisor · Retirement &amp; Life-Transition Perspective</w:t>
      </w:r>
    </w:p>
    <w:tbl>
      <w:tblPr>
        <w:tblW w:type="auto" w:w="0"/>
        <w:jc w:val="center"/>
        <w:tblLayout w:type="fixed"/>
        <w:tblLook w:firstColumn="1" w:firstRow="1" w:lastColumn="0" w:lastRow="0" w:noHBand="0" w:noVBand="1" w:val="04A0"/>
      </w:tblPr>
      <w:tblGrid>
        <w:gridCol w:w="3427"/>
        <w:gridCol w:w="7085"/>
      </w:tblGrid>
      <w:tr>
        <w:tc>
          <w:tcPr>
            <w:tcW w:type="dxa" w:w="5328"/>
            <w:tcMar>
              <w:top w:w="160" w:type="dxa"/>
              <w:start w:w="180" w:type="dxa"/>
              <w:bottom w:w="160" w:type="dxa"/>
              <w:end w:w="180" w:type="dxa"/>
            </w:tcMar>
            <w:tcBorders>
              <w:top w:val="single" w:sz="6" w:color="D9DEE8"/>
              <w:bottom w:val="single" w:sz="6" w:color="D9DEE8"/>
              <w:left w:val="single" w:sz="6" w:color="D9DEE8"/>
              <w:right w:val="single" w:sz="6" w:color="D9DEE8"/>
            </w:tcBorders>
            <w:shd w:fill="F4F6FA"/>
          </w:tcPr>
          <w:p/>
          <w:p>
            <w:pPr>
              <w:spacing w:before="0" w:after="140"/>
              <w:jc w:val="left"/>
            </w:pPr>
            <w:r>
              <w:rPr>
                <w:rFonts w:ascii="Aptos" w:hAnsi="Aptos" w:eastAsia="Aptos"/>
                <w:b/>
                <w:color w:val="5574B8"/>
                <w:sz w:val="17"/>
              </w:rPr>
              <w:t>QUICK FACTS</w:t>
            </w:r>
          </w:p>
          <w:p>
            <w:pPr>
              <w:spacing w:before="0" w:after="20"/>
            </w:pPr>
            <w:r>
              <w:rPr>
                <w:rFonts w:ascii="Aptos" w:hAnsi="Aptos" w:eastAsia="Aptos"/>
                <w:b/>
                <w:color w:val="5574B8"/>
                <w:sz w:val="14"/>
              </w:rPr>
              <w:t>EXPERIENCE</w:t>
            </w:r>
          </w:p>
          <w:p>
            <w:pPr>
              <w:spacing w:before="0" w:after="180" w:line="300" w:lineRule="auto"/>
            </w:pPr>
            <w:r>
              <w:rPr>
                <w:rFonts w:ascii="Aptos" w:hAnsi="Aptos" w:eastAsia="Aptos"/>
                <w:color w:val="202A3B"/>
                <w:sz w:val="18"/>
              </w:rPr>
              <w:t>27+ years helping individuals and families prepare intentionally for retirement</w:t>
            </w:r>
          </w:p>
          <w:p>
            <w:pPr>
              <w:spacing w:before="0" w:after="20"/>
            </w:pPr>
            <w:r>
              <w:rPr>
                <w:rFonts w:ascii="Aptos" w:hAnsi="Aptos" w:eastAsia="Aptos"/>
                <w:b/>
                <w:color w:val="5574B8"/>
                <w:sz w:val="14"/>
              </w:rPr>
              <w:t>CURRENT BOOK</w:t>
            </w:r>
          </w:p>
          <w:p>
            <w:pPr>
              <w:spacing w:before="0" w:after="180" w:line="300" w:lineRule="auto"/>
            </w:pPr>
            <w:r>
              <w:rPr>
                <w:rFonts w:ascii="Aptos" w:hAnsi="Aptos" w:eastAsia="Aptos"/>
                <w:color w:val="202A3B"/>
                <w:sz w:val="18"/>
              </w:rPr>
              <w:t>Creating Your Next Chapter</w:t>
            </w:r>
          </w:p>
          <w:p>
            <w:pPr>
              <w:spacing w:before="0" w:after="20"/>
            </w:pPr>
            <w:r>
              <w:rPr>
                <w:rFonts w:ascii="Aptos" w:hAnsi="Aptos" w:eastAsia="Aptos"/>
                <w:b/>
                <w:color w:val="5574B8"/>
                <w:sz w:val="14"/>
              </w:rPr>
              <w:t>FOCUS</w:t>
            </w:r>
          </w:p>
          <w:p>
            <w:pPr>
              <w:spacing w:before="0" w:after="180" w:line="300" w:lineRule="auto"/>
            </w:pPr>
            <w:r>
              <w:rPr>
                <w:rFonts w:ascii="Aptos" w:hAnsi="Aptos" w:eastAsia="Aptos"/>
                <w:color w:val="202A3B"/>
                <w:sz w:val="18"/>
              </w:rPr>
              <w:t>Clarity, purpose, passion, vision, retirement, transition, and direction</w:t>
            </w:r>
          </w:p>
          <w:p>
            <w:pPr>
              <w:spacing w:before="0" w:after="20"/>
            </w:pPr>
            <w:r>
              <w:rPr>
                <w:rFonts w:ascii="Aptos" w:hAnsi="Aptos" w:eastAsia="Aptos"/>
                <w:b/>
                <w:color w:val="5574B8"/>
                <w:sz w:val="14"/>
              </w:rPr>
              <w:t>PODCAST</w:t>
            </w:r>
          </w:p>
          <w:p>
            <w:pPr>
              <w:spacing w:before="0" w:after="180" w:line="300" w:lineRule="auto"/>
            </w:pPr>
            <w:r>
              <w:rPr>
                <w:rFonts w:ascii="Aptos" w:hAnsi="Aptos" w:eastAsia="Aptos"/>
                <w:color w:val="202A3B"/>
                <w:sz w:val="18"/>
              </w:rPr>
              <w:t>Creating Your Next Chapter</w:t>
            </w:r>
          </w:p>
          <w:p>
            <w:pPr>
              <w:spacing w:before="0" w:after="20"/>
            </w:pPr>
            <w:r>
              <w:rPr>
                <w:rFonts w:ascii="Aptos" w:hAnsi="Aptos" w:eastAsia="Aptos"/>
                <w:b/>
                <w:color w:val="5574B8"/>
                <w:sz w:val="14"/>
              </w:rPr>
              <w:t>LOCATION</w:t>
            </w:r>
          </w:p>
          <w:p>
            <w:pPr>
              <w:spacing w:before="0" w:after="180" w:line="300" w:lineRule="auto"/>
            </w:pPr>
            <w:r>
              <w:rPr>
                <w:rFonts w:ascii="Aptos" w:hAnsi="Aptos" w:eastAsia="Aptos"/>
                <w:color w:val="202A3B"/>
                <w:sz w:val="18"/>
              </w:rPr>
              <w:t>Southwestern Pennsylvania</w:t>
            </w:r>
          </w:p>
        </w:tc>
        <w:tc>
          <w:tcPr>
            <w:tcW w:type="dxa" w:w="5328"/>
            <w:tcMar>
              <w:top w:w="160" w:type="dxa"/>
              <w:start w:w="180" w:type="dxa"/>
              <w:bottom w:w="160" w:type="dxa"/>
              <w:end w:w="180" w:type="dxa"/>
            </w:tcMar>
            <w:tcBorders>
              <w:top w:val="single" w:sz="6" w:color="D9DEE8"/>
              <w:bottom w:val="single" w:sz="6" w:color="D9DEE8"/>
              <w:left w:val="single" w:sz="6" w:color="D9DEE8"/>
              <w:right w:val="single" w:sz="6" w:color="D9DEE8"/>
            </w:tcBorders>
          </w:tcPr>
          <w:p/>
          <w:p>
            <w:pPr>
              <w:spacing w:before="0" w:after="140"/>
              <w:jc w:val="left"/>
            </w:pPr>
            <w:r>
              <w:rPr>
                <w:rFonts w:ascii="Aptos" w:hAnsi="Aptos" w:eastAsia="Aptos"/>
                <w:b/>
                <w:color w:val="5574B8"/>
                <w:sz w:val="17"/>
              </w:rPr>
              <w:t>APPROVED SHORT BIO</w:t>
            </w:r>
          </w:p>
          <w:p>
            <w:pPr>
              <w:spacing w:before="0" w:after="280" w:line="336" w:lineRule="auto"/>
            </w:pPr>
            <w:r>
              <w:rPr>
                <w:rFonts w:ascii="Aptos" w:hAnsi="Aptos" w:eastAsia="Aptos"/>
                <w:b w:val="0"/>
                <w:i w:val="0"/>
                <w:color w:val="202A3B"/>
                <w:sz w:val="21"/>
              </w:rPr>
              <w:t>Ed Gaskey is an author and advisor who has spent nearly three decades helping individuals and families prepare for retirement. His work explores the questions that often come after the financial plan is in place: What do you want the next chapter of life to become? Through his writing and conversations, Ed focuses on clarity, purpose, passion, vision, and the choices that shape meaningful transitions.</w:t>
            </w:r>
          </w:p>
          <w:p>
            <w:pPr>
              <w:spacing w:before="0" w:after="140"/>
              <w:jc w:val="left"/>
            </w:pPr>
            <w:r>
              <w:rPr>
                <w:rFonts w:ascii="Aptos" w:hAnsi="Aptos" w:eastAsia="Aptos"/>
                <w:b/>
                <w:color w:val="5574B8"/>
                <w:sz w:val="17"/>
              </w:rPr>
              <w:t>APPROVED MEDIUM BIO</w:t>
            </w:r>
          </w:p>
          <w:p>
            <w:pPr>
              <w:spacing w:before="0" w:after="140" w:line="336" w:lineRule="auto"/>
            </w:pPr>
            <w:r>
              <w:rPr>
                <w:rFonts w:ascii="Aptos" w:hAnsi="Aptos" w:eastAsia="Aptos"/>
                <w:b w:val="0"/>
                <w:i w:val="0"/>
                <w:color w:val="202A3B"/>
                <w:sz w:val="21"/>
              </w:rPr>
              <w:t>Ed Gaskey is an author and advisor with nearly three decades of experience helping individuals and families make confident financial decisions and prepare intentionally for retirement. Over time, many of those conversations moved beyond numbers. Clients often knew when they hoped to retire, but the more personal question was harder: what did they actually want retirement to look like?</w:t>
            </w:r>
          </w:p>
          <w:p>
            <w:pPr>
              <w:spacing w:before="0" w:after="40" w:line="336" w:lineRule="auto"/>
            </w:pPr>
            <w:r>
              <w:rPr>
                <w:rFonts w:ascii="Aptos" w:hAnsi="Aptos" w:eastAsia="Aptos"/>
                <w:b w:val="0"/>
                <w:i w:val="0"/>
                <w:color w:val="202A3B"/>
                <w:sz w:val="21"/>
              </w:rPr>
              <w:t>Those conversations helped shape Ed's broader work around clarity, purpose, passion, vision, and major life transitions. His book, Creating Your Next Chapter, encourages readers to think beyond a retirement date and intentionally define what they want the years ahead to become.</w:t>
            </w:r>
          </w:p>
        </w:tc>
      </w:tr>
    </w:tbl>
    <w:p>
      <w:r>
        <w:br w:type="page"/>
      </w:r>
    </w:p>
    <w:p>
      <w:pPr>
        <w:spacing w:before="0" w:after="140"/>
        <w:jc w:val="left"/>
      </w:pPr>
      <w:r>
        <w:rPr>
          <w:rFonts w:ascii="Aptos" w:hAnsi="Aptos" w:eastAsia="Aptos"/>
          <w:b/>
          <w:color w:val="5574B8"/>
          <w:sz w:val="17"/>
        </w:rPr>
        <w:t>APPROVED BIOGRAPHY</w:t>
      </w:r>
    </w:p>
    <w:p>
      <w:pPr>
        <w:spacing w:before="0" w:after="220" w:line="252" w:lineRule="auto"/>
        <w:jc w:val="left"/>
      </w:pPr>
      <w:r>
        <w:rPr>
          <w:rFonts w:ascii="Georgia" w:hAnsi="Georgia" w:eastAsia="Georgia"/>
          <w:b w:val="0"/>
          <w:color w:val="202A3B"/>
          <w:sz w:val="58"/>
        </w:rPr>
        <w:t>Full Biography</w:t>
      </w:r>
    </w:p>
    <w:p>
      <w:pPr>
        <w:pBdr>
          <w:bottom w:val="single" w:sz="8" w:space="1" w:color="D1B36A"/>
        </w:pBdr>
        <w:spacing w:before="0" w:after="240"/>
      </w:pPr>
    </w:p>
    <w:p>
      <w:pPr>
        <w:spacing w:before="0" w:after="180" w:line="343" w:lineRule="auto"/>
      </w:pPr>
      <w:r>
        <w:rPr>
          <w:rFonts w:ascii="Aptos" w:hAnsi="Aptos" w:eastAsia="Aptos"/>
          <w:b w:val="0"/>
          <w:i w:val="0"/>
          <w:color w:val="202A3B"/>
          <w:sz w:val="21"/>
        </w:rPr>
        <w:t>Ed Gaskey has spent nearly three decades helping individuals and families make confident financial decisions and prepare intentionally for what comes next.</w:t>
      </w:r>
    </w:p>
    <w:p>
      <w:pPr>
        <w:spacing w:before="0" w:after="180" w:line="343" w:lineRule="auto"/>
      </w:pPr>
      <w:r>
        <w:rPr>
          <w:rFonts w:ascii="Aptos" w:hAnsi="Aptos" w:eastAsia="Aptos"/>
          <w:b w:val="0"/>
          <w:i w:val="0"/>
          <w:color w:val="202A3B"/>
          <w:sz w:val="21"/>
        </w:rPr>
        <w:t>As a financial planning professional, Ed has built his work around comprehensive planning, long-term relationships, and helping clients move from accumulation toward greater clarity and confidence about the future.</w:t>
      </w:r>
    </w:p>
    <w:p>
      <w:pPr>
        <w:spacing w:before="0" w:after="180" w:line="343" w:lineRule="auto"/>
      </w:pPr>
      <w:r>
        <w:rPr>
          <w:rFonts w:ascii="Aptos" w:hAnsi="Aptos" w:eastAsia="Aptos"/>
          <w:b w:val="0"/>
          <w:i w:val="0"/>
          <w:color w:val="202A3B"/>
          <w:sz w:val="21"/>
        </w:rPr>
        <w:t>Over the years, many of those conversations moved beyond numbers. People knew when they hoped to retire, but the more personal question was often harder: what did they actually want retirement to look like?</w:t>
      </w:r>
    </w:p>
    <w:p>
      <w:pPr>
        <w:spacing w:before="0" w:after="180" w:line="343" w:lineRule="auto"/>
      </w:pPr>
      <w:r>
        <w:rPr>
          <w:rFonts w:ascii="Aptos" w:hAnsi="Aptos" w:eastAsia="Aptos"/>
          <w:b w:val="0"/>
          <w:i w:val="0"/>
          <w:color w:val="202A3B"/>
          <w:sz w:val="21"/>
        </w:rPr>
        <w:t>Those conversations about retirement, financial freedom, purpose, and transition helped shape the ideas behind Creating Your Next Chapter and Ed's focus on clarity, purpose, passion, and vision.</w:t>
      </w:r>
    </w:p>
    <w:p>
      <w:pPr>
        <w:spacing w:before="0" w:after="180" w:line="343" w:lineRule="auto"/>
      </w:pPr>
      <w:r>
        <w:rPr>
          <w:rFonts w:ascii="Aptos" w:hAnsi="Aptos" w:eastAsia="Aptos"/>
          <w:b w:val="0"/>
          <w:i w:val="0"/>
          <w:color w:val="202A3B"/>
          <w:sz w:val="21"/>
        </w:rPr>
        <w:t>Ed believes the years after a major transition deserve the same intention as everything it took to reach them. Through his writing, podcast conversations, and broader work, he explores how people can define what matters, reconnect with what energizes them, and move toward the future with greater confidence.</w:t>
      </w:r>
    </w:p>
    <w:p>
      <w:pPr>
        <w:spacing w:before="0" w:after="180" w:line="343" w:lineRule="auto"/>
      </w:pPr>
      <w:r>
        <w:rPr>
          <w:rFonts w:ascii="Aptos" w:hAnsi="Aptos" w:eastAsia="Aptos"/>
          <w:b w:val="0"/>
          <w:i w:val="0"/>
          <w:color w:val="202A3B"/>
          <w:sz w:val="21"/>
        </w:rPr>
        <w:t>Outside of work, Ed enjoys time with family and friends, hunting, fishing, reading, podcasts, and staying active. He and his wife, Christine, live in southwestern Pennsylvania and also enjoy spending time on Florida's Gulf Coast.</w:t>
      </w:r>
    </w:p>
    <w:tbl>
      <w:tblPr>
        <w:tblW w:type="auto" w:w="0"/>
        <w:jc w:val="center"/>
        <w:tblLook w:firstColumn="1" w:firstRow="1" w:lastColumn="0" w:lastRow="0" w:noHBand="0" w:noVBand="1" w:val="04A0"/>
      </w:tblPr>
      <w:tblGrid>
        <w:gridCol w:w="10656"/>
      </w:tblGrid>
      <w:tr>
        <w:tc>
          <w:tcPr>
            <w:tcW w:type="dxa" w:w="10656"/>
            <w:shd w:fill="162640"/>
            <w:tcMar>
              <w:top w:w="220" w:type="dxa"/>
              <w:start w:w="260" w:type="dxa"/>
              <w:bottom w:w="220" w:type="dxa"/>
              <w:end w:w="260" w:type="dxa"/>
            </w:tcMar>
          </w:tcPr>
          <w:p/>
          <w:p>
            <w:pPr>
              <w:spacing w:before="0" w:after="120" w:line="300" w:lineRule="auto"/>
            </w:pPr>
            <w:r>
              <w:rPr>
                <w:rFonts w:ascii="Georgia" w:hAnsi="Georgia" w:eastAsia="Georgia"/>
                <w:i/>
                <w:color w:val="FFFFFF"/>
                <w:sz w:val="33"/>
              </w:rPr>
              <w:t>“What comes next deserves the same intention as everything it took to get there.”</w:t>
            </w:r>
          </w:p>
          <w:p>
            <w:r>
              <w:rPr>
                <w:rFonts w:ascii="Aptos" w:hAnsi="Aptos" w:eastAsia="Aptos"/>
                <w:b/>
                <w:color w:val="D1B36A"/>
                <w:sz w:val="16"/>
              </w:rPr>
              <w:t>— ED GASKEY</w:t>
            </w:r>
          </w:p>
        </w:tc>
      </w:tr>
    </w:tbl>
    <w:p>
      <w:r>
        <w:br w:type="page"/>
      </w:r>
    </w:p>
    <w:p>
      <w:pPr>
        <w:spacing w:before="0" w:after="140"/>
        <w:jc w:val="left"/>
      </w:pPr>
      <w:r>
        <w:rPr>
          <w:rFonts w:ascii="Aptos" w:hAnsi="Aptos" w:eastAsia="Aptos"/>
          <w:b/>
          <w:color w:val="5574B8"/>
          <w:sz w:val="17"/>
        </w:rPr>
        <w:t>CURRENT BOOK</w:t>
      </w:r>
    </w:p>
    <w:p>
      <w:pPr>
        <w:spacing w:before="0" w:after="220" w:line="252" w:lineRule="auto"/>
        <w:jc w:val="left"/>
      </w:pPr>
      <w:r>
        <w:rPr>
          <w:rFonts w:ascii="Georgia" w:hAnsi="Georgia" w:eastAsia="Georgia"/>
          <w:b w:val="0"/>
          <w:color w:val="202A3B"/>
          <w:sz w:val="58"/>
        </w:rPr>
        <w:t>Creating Your Next Chapter</w:t>
      </w:r>
    </w:p>
    <w:p>
      <w:pPr>
        <w:spacing w:before="0" w:after="280"/>
      </w:pPr>
      <w:r>
        <w:rPr>
          <w:rFonts w:ascii="Georgia" w:hAnsi="Georgia" w:eastAsia="Georgia"/>
          <w:i/>
          <w:color w:val="5574B8"/>
          <w:sz w:val="24"/>
        </w:rPr>
        <w:t>How to gain financial clarity, purpose, passion, and vision before you retire</w:t>
      </w:r>
    </w:p>
    <w:tbl>
      <w:tblPr>
        <w:tblW w:type="auto" w:w="0"/>
        <w:jc w:val="center"/>
        <w:tblLayout w:type="fixed"/>
        <w:tblLook w:firstColumn="1" w:firstRow="1" w:lastColumn="0" w:lastRow="0" w:noHBand="0" w:noVBand="1" w:val="04A0"/>
      </w:tblPr>
      <w:tblGrid>
        <w:gridCol w:w="3600"/>
        <w:gridCol w:w="6912"/>
      </w:tblGrid>
      <w:tr>
        <w:tc>
          <w:tcPr>
            <w:tcW w:type="dxa" w:w="5328"/>
            <w:tcMar>
              <w:top w:w="150" w:type="dxa"/>
              <w:start w:w="150" w:type="dxa"/>
              <w:bottom w:w="150" w:type="dxa"/>
              <w:end w:w="150" w:type="dxa"/>
            </w:tcMar>
          </w:tcPr>
          <w:p/>
          <w:p>
            <w:pPr>
              <w:jc w:val="center"/>
            </w:pPr>
            <w:r>
              <w:drawing>
                <wp:inline xmlns:a="http://schemas.openxmlformats.org/drawingml/2006/main" xmlns:pic="http://schemas.openxmlformats.org/drawingml/2006/picture">
                  <wp:extent cx="1938528" cy="2913567"/>
                  <wp:docPr id="3" name="Picture 3" descr="Creating Your Next Chapter book cover"/>
                  <wp:cNvGraphicFramePr>
                    <a:graphicFrameLocks noChangeAspect="1"/>
                  </wp:cNvGraphicFramePr>
                  <a:graphic>
                    <a:graphicData uri="http://schemas.openxmlformats.org/drawingml/2006/picture">
                      <pic:pic>
                        <pic:nvPicPr>
                          <pic:cNvPr id="0" name="book-cover.png"/>
                          <pic:cNvPicPr/>
                        </pic:nvPicPr>
                        <pic:blipFill>
                          <a:blip r:embed="rId13"/>
                          <a:stretch>
                            <a:fillRect/>
                          </a:stretch>
                        </pic:blipFill>
                        <pic:spPr>
                          <a:xfrm>
                            <a:off x="0" y="0"/>
                            <a:ext cx="1938528" cy="2913567"/>
                          </a:xfrm>
                          <a:prstGeom prst="rect"/>
                        </pic:spPr>
                      </pic:pic>
                    </a:graphicData>
                  </a:graphic>
                </wp:inline>
              </w:drawing>
            </w:r>
          </w:p>
        </w:tc>
        <w:tc>
          <w:tcPr>
            <w:tcW w:type="dxa" w:w="5328"/>
            <w:tcMar>
              <w:top w:w="150" w:type="dxa"/>
              <w:start w:w="150" w:type="dxa"/>
              <w:bottom w:w="150" w:type="dxa"/>
              <w:end w:w="150" w:type="dxa"/>
            </w:tcMar>
          </w:tcPr>
          <w:p/>
          <w:p>
            <w:pPr>
              <w:spacing w:before="0" w:after="140"/>
              <w:jc w:val="left"/>
            </w:pPr>
            <w:r>
              <w:rPr>
                <w:rFonts w:ascii="Aptos" w:hAnsi="Aptos" w:eastAsia="Aptos"/>
                <w:b/>
                <w:color w:val="5574B8"/>
                <w:sz w:val="17"/>
              </w:rPr>
              <w:t>BOOK OVERVIEW</w:t>
            </w:r>
          </w:p>
          <w:p>
            <w:pPr>
              <w:spacing w:before="0" w:after="220" w:line="336" w:lineRule="auto"/>
            </w:pPr>
            <w:r>
              <w:rPr>
                <w:rFonts w:ascii="Aptos" w:hAnsi="Aptos" w:eastAsia="Aptos"/>
                <w:b w:val="0"/>
                <w:i w:val="0"/>
                <w:color w:val="202A3B"/>
                <w:sz w:val="21"/>
              </w:rPr>
              <w:t>People can spend decades preparing financially for retirement without ever defining what they want retirement to become. Creating Your Next Chapter starts with the practical questions that surface around transition and helps readers move beyond a retirement date toward a clearer picture of the life they want to build next.</w:t>
            </w:r>
          </w:p>
          <w:p>
            <w:pPr>
              <w:spacing w:before="0" w:after="140"/>
              <w:jc w:val="left"/>
            </w:pPr>
            <w:r>
              <w:rPr>
                <w:rFonts w:ascii="Aptos" w:hAnsi="Aptos" w:eastAsia="Aptos"/>
                <w:b/>
                <w:color w:val="5574B8"/>
                <w:sz w:val="17"/>
              </w:rPr>
              <w:t>CORE THEMES</w:t>
            </w:r>
          </w:p>
          <w:p>
            <w:pPr>
              <w:pStyle w:val="ListBullet"/>
              <w:spacing w:before="0" w:after="80" w:line="300" w:lineRule="auto"/>
              <w:ind w:left="317" w:hanging="101"/>
            </w:pPr>
            <w:r>
              <w:rPr>
                <w:rFonts w:ascii="Aptos" w:hAnsi="Aptos" w:eastAsia="Aptos"/>
                <w:color w:val="202A3B"/>
                <w:sz w:val="20"/>
              </w:rPr>
              <w:t>Clarity — understanding where you are now and what is changing.</w:t>
            </w:r>
          </w:p>
          <w:p>
            <w:pPr>
              <w:pStyle w:val="ListBullet"/>
              <w:spacing w:before="0" w:after="80" w:line="300" w:lineRule="auto"/>
              <w:ind w:left="317" w:hanging="101"/>
            </w:pPr>
            <w:r>
              <w:rPr>
                <w:rFonts w:ascii="Aptos" w:hAnsi="Aptos" w:eastAsia="Aptos"/>
                <w:color w:val="202A3B"/>
                <w:sz w:val="20"/>
              </w:rPr>
              <w:t>Purpose — identifying the people, priorities, and contributions that matter most.</w:t>
            </w:r>
          </w:p>
          <w:p>
            <w:pPr>
              <w:pStyle w:val="ListBullet"/>
              <w:spacing w:before="0" w:after="80" w:line="300" w:lineRule="auto"/>
              <w:ind w:left="317" w:hanging="101"/>
            </w:pPr>
            <w:r>
              <w:rPr>
                <w:rFonts w:ascii="Aptos" w:hAnsi="Aptos" w:eastAsia="Aptos"/>
                <w:color w:val="202A3B"/>
                <w:sz w:val="20"/>
              </w:rPr>
              <w:t>Passion — reconnecting with the interests and experiences that energize you.</w:t>
            </w:r>
          </w:p>
          <w:p>
            <w:pPr>
              <w:pStyle w:val="ListBullet"/>
              <w:spacing w:before="0" w:after="80" w:line="300" w:lineRule="auto"/>
              <w:ind w:left="317" w:hanging="101"/>
            </w:pPr>
            <w:r>
              <w:rPr>
                <w:rFonts w:ascii="Aptos" w:hAnsi="Aptos" w:eastAsia="Aptos"/>
                <w:color w:val="202A3B"/>
                <w:sz w:val="20"/>
              </w:rPr>
              <w:t>Vision — creating a clearer picture of what you want the next chapter to become.</w:t>
            </w:r>
          </w:p>
        </w:tc>
      </w:tr>
    </w:tbl>
    <w:p>
      <w:pPr>
        <w:spacing w:before="0" w:after="140"/>
        <w:jc w:val="left"/>
      </w:pPr>
      <w:r>
        <w:rPr>
          <w:rFonts w:ascii="Aptos" w:hAnsi="Aptos" w:eastAsia="Aptos"/>
          <w:b/>
          <w:color w:val="5574B8"/>
          <w:sz w:val="17"/>
        </w:rPr>
        <w:t>WHO THE BOOK IS FOR</w:t>
      </w:r>
    </w:p>
    <w:p>
      <w:pPr>
        <w:pStyle w:val="ListBullet"/>
        <w:spacing w:before="0" w:after="80" w:line="300" w:lineRule="auto"/>
        <w:ind w:left="317" w:hanging="101"/>
      </w:pPr>
      <w:r>
        <w:rPr>
          <w:rFonts w:ascii="Aptos" w:hAnsi="Aptos" w:eastAsia="Aptos"/>
          <w:color w:val="202A3B"/>
          <w:sz w:val="20"/>
        </w:rPr>
        <w:t>People approaching retirement who have prepared financially but have not fully defined what comes next.</w:t>
      </w:r>
    </w:p>
    <w:p>
      <w:pPr>
        <w:pStyle w:val="ListBullet"/>
        <w:spacing w:before="0" w:after="80" w:line="300" w:lineRule="auto"/>
        <w:ind w:left="317" w:hanging="101"/>
      </w:pPr>
      <w:r>
        <w:rPr>
          <w:rFonts w:ascii="Aptos" w:hAnsi="Aptos" w:eastAsia="Aptos"/>
          <w:color w:val="202A3B"/>
          <w:sz w:val="20"/>
        </w:rPr>
        <w:t>Readers navigating a major life or career transition.</w:t>
      </w:r>
    </w:p>
    <w:p>
      <w:pPr>
        <w:pStyle w:val="ListBullet"/>
        <w:spacing w:before="0" w:after="80" w:line="300" w:lineRule="auto"/>
        <w:ind w:left="317" w:hanging="101"/>
      </w:pPr>
      <w:r>
        <w:rPr>
          <w:rFonts w:ascii="Aptos" w:hAnsi="Aptos" w:eastAsia="Aptos"/>
          <w:color w:val="202A3B"/>
          <w:sz w:val="20"/>
        </w:rPr>
        <w:t>Individuals reassessing direction, identity, purpose, and how they want to spend their time.</w:t>
      </w:r>
    </w:p>
    <w:p>
      <w:pPr>
        <w:pStyle w:val="ListBullet"/>
        <w:spacing w:before="0" w:after="80" w:line="300" w:lineRule="auto"/>
        <w:ind w:left="317" w:hanging="101"/>
      </w:pPr>
      <w:r>
        <w:rPr>
          <w:rFonts w:ascii="Aptos" w:hAnsi="Aptos" w:eastAsia="Aptos"/>
          <w:color w:val="202A3B"/>
          <w:sz w:val="20"/>
        </w:rPr>
        <w:t>Couples and families having deeper conversations about the life they want to build after a major transition.</w:t>
      </w:r>
    </w:p>
    <w:p>
      <w:r>
        <w:rPr>
          <w:rFonts w:ascii="Aptos" w:hAnsi="Aptos" w:eastAsia="Aptos"/>
          <w:b/>
          <w:color w:val="202A3B"/>
          <w:sz w:val="20"/>
        </w:rPr>
        <w:t xml:space="preserve">Current book details: </w:t>
      </w:r>
      <w:hyperlink r:id="rId14">
        <w:r>
          <w:rPr>
            <w:color w:val="5574B8"/>
            <w:u w:val="single"/>
          </w:rPr>
          <w:t>edgaskey.com/book</w:t>
        </w:r>
      </w:hyperlink>
    </w:p>
    <w:p>
      <w:r>
        <w:br w:type="page"/>
      </w:r>
    </w:p>
    <w:p>
      <w:pPr>
        <w:spacing w:before="0" w:after="140"/>
        <w:jc w:val="left"/>
      </w:pPr>
      <w:r>
        <w:rPr>
          <w:rFonts w:ascii="Aptos" w:hAnsi="Aptos" w:eastAsia="Aptos"/>
          <w:b/>
          <w:color w:val="5574B8"/>
          <w:sz w:val="17"/>
        </w:rPr>
        <w:t>INTERVIEWS &amp; CONVERSATIONS</w:t>
      </w:r>
    </w:p>
    <w:p>
      <w:pPr>
        <w:spacing w:before="0" w:after="220" w:line="252" w:lineRule="auto"/>
        <w:jc w:val="left"/>
      </w:pPr>
      <w:r>
        <w:rPr>
          <w:rFonts w:ascii="Georgia" w:hAnsi="Georgia" w:eastAsia="Georgia"/>
          <w:b w:val="0"/>
          <w:color w:val="202A3B"/>
          <w:sz w:val="58"/>
        </w:rPr>
        <w:t>Topics Ed Can Speak About</w:t>
      </w:r>
    </w:p>
    <w:p>
      <w:pPr>
        <w:pBdr>
          <w:bottom w:val="single" w:sz="8" w:space="1" w:color="D1B36A"/>
        </w:pBdr>
        <w:spacing w:before="0" w:after="360" w:line="312" w:lineRule="auto"/>
      </w:pPr>
      <w:r>
        <w:rPr>
          <w:rFonts w:ascii="Aptos" w:hAnsi="Aptos" w:eastAsia="Aptos"/>
          <w:b w:val="0"/>
          <w:color w:val="5F6B7B"/>
          <w:sz w:val="20"/>
        </w:rPr>
        <w:t>Four conversation areas for interviews, podcasts, panels, and editorial features.</w:t>
      </w:r>
    </w:p>
    <w:tbl>
      <w:tblPr>
        <w:tblW w:type="auto" w:w="0"/>
        <w:jc w:val="center"/>
        <w:tblLayout w:type="fixed"/>
        <w:tblLook w:firstColumn="1" w:firstRow="1" w:lastColumn="0" w:lastRow="0" w:noHBand="0" w:noVBand="1" w:val="04A0"/>
      </w:tblPr>
      <w:tblGrid>
        <w:gridCol w:w="5112"/>
        <w:gridCol w:w="5112"/>
      </w:tblGrid>
      <w:tr>
        <w:trPr>
          <w:trHeight w:val="3528" w:hRule="atLeast"/>
        </w:trPr>
        <w:tc>
          <w:tcPr>
            <w:tcW w:type="dxa" w:w="5328"/>
            <w:vAlign w:val="top"/>
            <w:tcMar>
              <w:top w:w="240" w:type="dxa"/>
              <w:start w:w="240" w:type="dxa"/>
              <w:bottom w:w="230" w:type="dxa"/>
              <w:end w:w="240" w:type="dxa"/>
            </w:tcMar>
            <w:shd w:fill="F4F6FA"/>
            <w:tcBorders>
              <w:top w:val="single" w:sz="6" w:color="D9DEE8"/>
              <w:left w:val="single" w:sz="6" w:color="D9DEE8"/>
              <w:bottom w:val="single" w:sz="6" w:color="D9DEE8"/>
              <w:right w:val="single" w:sz="6" w:color="D9DEE8"/>
            </w:tcBorders>
          </w:tcPr>
          <w:p>
            <w:pPr>
              <w:spacing w:after="240"/>
            </w:pPr>
            <w:r>
              <w:rPr>
                <w:rFonts w:ascii="Georgia" w:hAnsi="Georgia" w:eastAsia="Georgia"/>
                <w:b w:val="0"/>
                <w:color w:val="5574B8"/>
                <w:sz w:val="36"/>
              </w:rPr>
              <w:t>01</w:t>
            </w:r>
          </w:p>
          <w:p>
            <w:pPr>
              <w:spacing w:after="140" w:line="259" w:lineRule="auto"/>
            </w:pPr>
            <w:r>
              <w:rPr>
                <w:rFonts w:ascii="Aptos" w:hAnsi="Aptos" w:eastAsia="Aptos"/>
                <w:b/>
                <w:color w:val="0E1829"/>
                <w:sz w:val="22"/>
              </w:rPr>
              <w:t>Retirement Beyond the Numbers</w:t>
            </w:r>
          </w:p>
          <w:p>
            <w:pPr>
              <w:spacing w:after="0" w:line="324" w:lineRule="auto"/>
            </w:pPr>
            <w:r>
              <w:rPr>
                <w:rFonts w:ascii="Aptos" w:hAnsi="Aptos" w:eastAsia="Aptos"/>
                <w:b w:val="0"/>
                <w:color w:val="202A3B"/>
                <w:sz w:val="19"/>
              </w:rPr>
              <w:t>Why a strong financial plan does not automatically answer the question, “What do I want my retirement to look like?”</w:t>
            </w:r>
          </w:p>
        </w:tc>
        <w:tc>
          <w:tcPr>
            <w:tcW w:type="dxa" w:w="5328"/>
            <w:vAlign w:val="top"/>
            <w:tcMar>
              <w:top w:w="240" w:type="dxa"/>
              <w:start w:w="240" w:type="dxa"/>
              <w:bottom w:w="230" w:type="dxa"/>
              <w:end w:w="240" w:type="dxa"/>
            </w:tcMar>
            <w:shd w:fill="FBFAF7"/>
            <w:tcBorders>
              <w:top w:val="single" w:sz="6" w:color="D9DEE8"/>
              <w:left w:val="single" w:sz="6" w:color="D9DEE8"/>
              <w:bottom w:val="single" w:sz="6" w:color="D9DEE8"/>
              <w:right w:val="single" w:sz="6" w:color="D9DEE8"/>
            </w:tcBorders>
          </w:tcPr>
          <w:p>
            <w:pPr>
              <w:spacing w:after="240"/>
            </w:pPr>
            <w:r>
              <w:rPr>
                <w:rFonts w:ascii="Georgia" w:hAnsi="Georgia" w:eastAsia="Georgia"/>
                <w:b w:val="0"/>
                <w:color w:val="5574B8"/>
                <w:sz w:val="36"/>
              </w:rPr>
              <w:t>02</w:t>
            </w:r>
          </w:p>
          <w:p>
            <w:pPr>
              <w:spacing w:after="140" w:line="259" w:lineRule="auto"/>
            </w:pPr>
            <w:r>
              <w:rPr>
                <w:rFonts w:ascii="Aptos" w:hAnsi="Aptos" w:eastAsia="Aptos"/>
                <w:b/>
                <w:color w:val="0E1829"/>
                <w:sz w:val="22"/>
              </w:rPr>
              <w:t>Clarity During Transition</w:t>
            </w:r>
          </w:p>
          <w:p>
            <w:pPr>
              <w:spacing w:after="0" w:line="324" w:lineRule="auto"/>
            </w:pPr>
            <w:r>
              <w:rPr>
                <w:rFonts w:ascii="Aptos" w:hAnsi="Aptos" w:eastAsia="Aptos"/>
                <w:b w:val="0"/>
                <w:color w:val="202A3B"/>
                <w:sz w:val="19"/>
              </w:rPr>
              <w:t>How people can make better decisions when one chapter is ending and another is beginning.</w:t>
            </w:r>
          </w:p>
        </w:tc>
      </w:tr>
      <w:tr>
        <w:trPr>
          <w:trHeight w:val="3528" w:hRule="atLeast"/>
        </w:trPr>
        <w:tc>
          <w:tcPr>
            <w:tcW w:type="dxa" w:w="5328"/>
            <w:vAlign w:val="top"/>
            <w:tcMar>
              <w:top w:w="240" w:type="dxa"/>
              <w:start w:w="240" w:type="dxa"/>
              <w:bottom w:w="230" w:type="dxa"/>
              <w:end w:w="240" w:type="dxa"/>
            </w:tcMar>
            <w:shd w:fill="FBFAF7"/>
            <w:tcBorders>
              <w:top w:val="single" w:sz="6" w:color="D9DEE8"/>
              <w:left w:val="single" w:sz="6" w:color="D9DEE8"/>
              <w:bottom w:val="single" w:sz="6" w:color="D9DEE8"/>
              <w:right w:val="single" w:sz="6" w:color="D9DEE8"/>
            </w:tcBorders>
          </w:tcPr>
          <w:p>
            <w:pPr>
              <w:spacing w:after="240"/>
            </w:pPr>
            <w:r>
              <w:rPr>
                <w:rFonts w:ascii="Georgia" w:hAnsi="Georgia" w:eastAsia="Georgia"/>
                <w:b w:val="0"/>
                <w:color w:val="5574B8"/>
                <w:sz w:val="36"/>
              </w:rPr>
              <w:t>03</w:t>
            </w:r>
          </w:p>
          <w:p>
            <w:pPr>
              <w:spacing w:after="140" w:line="259" w:lineRule="auto"/>
            </w:pPr>
            <w:r>
              <w:rPr>
                <w:rFonts w:ascii="Aptos" w:hAnsi="Aptos" w:eastAsia="Aptos"/>
                <w:b/>
                <w:color w:val="0E1829"/>
                <w:sz w:val="22"/>
              </w:rPr>
              <w:t>Purpose After a Career</w:t>
            </w:r>
          </w:p>
          <w:p>
            <w:pPr>
              <w:spacing w:after="0" w:line="324" w:lineRule="auto"/>
            </w:pPr>
            <w:r>
              <w:rPr>
                <w:rFonts w:ascii="Aptos" w:hAnsi="Aptos" w:eastAsia="Aptos"/>
                <w:b w:val="0"/>
                <w:color w:val="202A3B"/>
                <w:sz w:val="19"/>
              </w:rPr>
              <w:t>What happens when identity has been tied to work, leadership, or a professional role for decades.</w:t>
            </w:r>
          </w:p>
        </w:tc>
        <w:tc>
          <w:tcPr>
            <w:tcW w:type="dxa" w:w="5328"/>
            <w:vAlign w:val="top"/>
            <w:tcMar>
              <w:top w:w="240" w:type="dxa"/>
              <w:start w:w="240" w:type="dxa"/>
              <w:bottom w:w="230" w:type="dxa"/>
              <w:end w:w="240" w:type="dxa"/>
            </w:tcMar>
            <w:shd w:fill="F4F6FA"/>
            <w:tcBorders>
              <w:top w:val="single" w:sz="6" w:color="D9DEE8"/>
              <w:left w:val="single" w:sz="6" w:color="D9DEE8"/>
              <w:bottom w:val="single" w:sz="6" w:color="D9DEE8"/>
              <w:right w:val="single" w:sz="6" w:color="D9DEE8"/>
            </w:tcBorders>
          </w:tcPr>
          <w:p>
            <w:pPr>
              <w:spacing w:after="240"/>
            </w:pPr>
            <w:r>
              <w:rPr>
                <w:rFonts w:ascii="Georgia" w:hAnsi="Georgia" w:eastAsia="Georgia"/>
                <w:b w:val="0"/>
                <w:color w:val="5574B8"/>
                <w:sz w:val="36"/>
              </w:rPr>
              <w:t>04</w:t>
            </w:r>
          </w:p>
          <w:p>
            <w:pPr>
              <w:spacing w:after="140" w:line="259" w:lineRule="auto"/>
            </w:pPr>
            <w:r>
              <w:rPr>
                <w:rFonts w:ascii="Aptos" w:hAnsi="Aptos" w:eastAsia="Aptos"/>
                <w:b/>
                <w:color w:val="0E1829"/>
                <w:sz w:val="22"/>
              </w:rPr>
              <w:t>Creating What Comes Next</w:t>
            </w:r>
          </w:p>
          <w:p>
            <w:pPr>
              <w:spacing w:after="0" w:line="324" w:lineRule="auto"/>
            </w:pPr>
            <w:r>
              <w:rPr>
                <w:rFonts w:ascii="Aptos" w:hAnsi="Aptos" w:eastAsia="Aptos"/>
                <w:b w:val="0"/>
                <w:color w:val="202A3B"/>
                <w:sz w:val="19"/>
              </w:rPr>
              <w:t>How to turn reflection into a clearer direction for the next season of life.</w:t>
            </w:r>
          </w:p>
        </w:tc>
      </w:tr>
    </w:tbl>
    <w:p>
      <w:pPr>
        <w:pageBreakBefore/>
        <w:spacing w:before="0" w:after="140"/>
        <w:jc w:val="left"/>
      </w:pPr>
      <w:r>
        <w:rPr>
          <w:rFonts w:ascii="Aptos" w:hAnsi="Aptos" w:eastAsia="Aptos"/>
          <w:b/>
          <w:color w:val="5574B8"/>
          <w:sz w:val="17"/>
        </w:rPr>
        <w:t>PODCAST &amp; ONGOING WORK</w:t>
      </w:r>
    </w:p>
    <w:p>
      <w:pPr>
        <w:spacing w:before="0" w:after="220" w:line="252" w:lineRule="auto"/>
        <w:jc w:val="left"/>
      </w:pPr>
      <w:r>
        <w:rPr>
          <w:rFonts w:ascii="Georgia" w:hAnsi="Georgia" w:eastAsia="Georgia"/>
          <w:b w:val="0"/>
          <w:color w:val="202A3B"/>
          <w:sz w:val="58"/>
        </w:rPr>
        <w:t>Creating Your Next Chapter Podcast</w:t>
      </w:r>
    </w:p>
    <w:tbl>
      <w:tblPr>
        <w:tblW w:type="auto" w:w="0"/>
        <w:jc w:val="center"/>
        <w:tblLayout w:type="fixed"/>
        <w:tblLook w:firstColumn="1" w:firstRow="1" w:lastColumn="0" w:lastRow="0" w:noHBand="0" w:noVBand="1" w:val="04A0"/>
      </w:tblPr>
      <w:tblGrid>
        <w:gridCol w:w="4176"/>
        <w:gridCol w:w="6336"/>
      </w:tblGrid>
      <w:tr>
        <w:tc>
          <w:tcPr>
            <w:tcW w:type="dxa" w:w="5328"/>
            <w:tcMar>
              <w:top w:w="130" w:type="dxa"/>
              <w:start w:w="145" w:type="dxa"/>
              <w:bottom w:w="130" w:type="dxa"/>
              <w:end w:w="145" w:type="dxa"/>
            </w:tcMar>
          </w:tcPr>
          <w:p/>
          <w:p>
            <w:pPr>
              <w:jc w:val="center"/>
            </w:pPr>
            <w:r>
              <w:drawing>
                <wp:inline xmlns:a="http://schemas.openxmlformats.org/drawingml/2006/main" xmlns:pic="http://schemas.openxmlformats.org/drawingml/2006/picture">
                  <wp:extent cx="2331720" cy="2331720"/>
                  <wp:docPr id="4" name="Picture 4" descr="Creating Your Next Chapter podcast cover"/>
                  <wp:cNvGraphicFramePr>
                    <a:graphicFrameLocks noChangeAspect="1"/>
                  </wp:cNvGraphicFramePr>
                  <a:graphic>
                    <a:graphicData uri="http://schemas.openxmlformats.org/drawingml/2006/picture">
                      <pic:pic>
                        <pic:nvPicPr>
                          <pic:cNvPr id="0" name="podcast-cover.png"/>
                          <pic:cNvPicPr/>
                        </pic:nvPicPr>
                        <pic:blipFill>
                          <a:blip r:embed="rId15"/>
                          <a:stretch>
                            <a:fillRect/>
                          </a:stretch>
                        </pic:blipFill>
                        <pic:spPr>
                          <a:xfrm>
                            <a:off x="0" y="0"/>
                            <a:ext cx="2331720" cy="2331720"/>
                          </a:xfrm>
                          <a:prstGeom prst="rect"/>
                        </pic:spPr>
                      </pic:pic>
                    </a:graphicData>
                  </a:graphic>
                </wp:inline>
              </w:drawing>
            </w:r>
          </w:p>
        </w:tc>
        <w:tc>
          <w:tcPr>
            <w:tcW w:type="dxa" w:w="5328"/>
            <w:tcMar>
              <w:top w:w="130" w:type="dxa"/>
              <w:start w:w="145" w:type="dxa"/>
              <w:bottom w:w="130" w:type="dxa"/>
              <w:end w:w="145" w:type="dxa"/>
            </w:tcMar>
          </w:tcPr>
          <w:p/>
          <w:p>
            <w:pPr>
              <w:spacing w:before="0" w:after="260" w:line="341" w:lineRule="auto"/>
            </w:pPr>
            <w:r>
              <w:rPr>
                <w:rFonts w:ascii="Aptos" w:hAnsi="Aptos" w:eastAsia="Aptos"/>
                <w:b w:val="0"/>
                <w:i w:val="0"/>
                <w:color w:val="202A3B"/>
                <w:sz w:val="21"/>
              </w:rPr>
              <w:t>The Creating Your Next Chapter podcast explores transition, clarity, purpose, leadership, reinvention, and what it means to intentionally create what comes next.</w:t>
            </w:r>
          </w:p>
          <w:p>
            <w:pPr>
              <w:spacing w:before="0" w:after="140"/>
              <w:jc w:val="left"/>
            </w:pPr>
            <w:r>
              <w:rPr>
                <w:rFonts w:ascii="Aptos" w:hAnsi="Aptos" w:eastAsia="Aptos"/>
                <w:b/>
                <w:color w:val="5574B8"/>
                <w:sz w:val="17"/>
              </w:rPr>
              <w:t>CONVERSATION THEMES</w:t>
            </w:r>
          </w:p>
          <w:p>
            <w:pPr>
              <w:pStyle w:val="ListBullet"/>
              <w:spacing w:before="0" w:after="80" w:line="300" w:lineRule="auto"/>
              <w:ind w:left="317" w:hanging="101"/>
            </w:pPr>
            <w:r>
              <w:rPr>
                <w:rFonts w:ascii="Aptos" w:hAnsi="Aptos" w:eastAsia="Aptos"/>
                <w:color w:val="202A3B"/>
                <w:sz w:val="20"/>
              </w:rPr>
              <w:t>Clarity during transition</w:t>
            </w:r>
          </w:p>
          <w:p>
            <w:pPr>
              <w:pStyle w:val="ListBullet"/>
              <w:spacing w:before="0" w:after="80" w:line="300" w:lineRule="auto"/>
              <w:ind w:left="317" w:hanging="101"/>
            </w:pPr>
            <w:r>
              <w:rPr>
                <w:rFonts w:ascii="Aptos" w:hAnsi="Aptos" w:eastAsia="Aptos"/>
                <w:color w:val="202A3B"/>
                <w:sz w:val="20"/>
              </w:rPr>
              <w:t>Purpose and personal direction</w:t>
            </w:r>
          </w:p>
          <w:p>
            <w:pPr>
              <w:pStyle w:val="ListBullet"/>
              <w:spacing w:before="0" w:after="80" w:line="300" w:lineRule="auto"/>
              <w:ind w:left="317" w:hanging="101"/>
            </w:pPr>
            <w:r>
              <w:rPr>
                <w:rFonts w:ascii="Aptos" w:hAnsi="Aptos" w:eastAsia="Aptos"/>
                <w:color w:val="202A3B"/>
                <w:sz w:val="20"/>
              </w:rPr>
              <w:t>Leadership and reinvention</w:t>
            </w:r>
          </w:p>
          <w:p>
            <w:pPr>
              <w:pStyle w:val="ListBullet"/>
              <w:spacing w:before="0" w:after="80" w:line="300" w:lineRule="auto"/>
              <w:ind w:left="317" w:hanging="101"/>
            </w:pPr>
            <w:r>
              <w:rPr>
                <w:rFonts w:ascii="Aptos" w:hAnsi="Aptos" w:eastAsia="Aptos"/>
                <w:color w:val="202A3B"/>
                <w:sz w:val="20"/>
              </w:rPr>
              <w:t>Creating what comes next</w:t>
            </w:r>
          </w:p>
          <w:p>
            <w:hyperlink r:id="rId16">
              <w:r>
                <w:rPr>
                  <w:color w:val="5574B8"/>
                  <w:u w:val="single"/>
                  <w:b/>
                </w:rPr>
                <w:t>edgaskey.com/podcast</w:t>
              </w:r>
            </w:hyperlink>
          </w:p>
        </w:tc>
      </w:tr>
    </w:tbl>
    <w:p>
      <w:pPr>
        <w:spacing w:before="0" w:after="140"/>
        <w:jc w:val="left"/>
      </w:pPr>
      <w:r>
        <w:rPr>
          <w:rFonts w:ascii="Aptos" w:hAnsi="Aptos" w:eastAsia="Aptos"/>
          <w:b/>
          <w:color w:val="5574B8"/>
          <w:sz w:val="17"/>
        </w:rPr>
        <w:t>ADDITIONAL EDITORIAL CHANNELS</w:t>
      </w:r>
    </w:p>
    <w:p>
      <w:pPr>
        <w:spacing w:before="0" w:after="140" w:line="336" w:lineRule="auto"/>
      </w:pPr>
      <w:r>
        <w:rPr>
          <w:rFonts w:ascii="Aptos" w:hAnsi="Aptos" w:eastAsia="Aptos"/>
          <w:b w:val="0"/>
          <w:i w:val="0"/>
          <w:color w:val="202A3B"/>
          <w:sz w:val="21"/>
        </w:rPr>
        <w:t>Ed's website also includes writing and updates on clarity, purpose, passion, vision, transition, and the decisions that shape what comes next.</w:t>
      </w:r>
    </w:p>
    <w:p>
      <w:pPr>
        <w:spacing w:before="0" w:after="80"/>
      </w:pPr>
      <w:hyperlink r:id="rId17">
        <w:r>
          <w:rPr>
            <w:color w:val="5574B8"/>
            <w:u w:val="single"/>
          </w:rPr>
          <w:t>Blog: edgaskey.com/blog</w:t>
        </w:r>
      </w:hyperlink>
    </w:p>
    <w:p>
      <w:hyperlink r:id="rId11">
        <w:r>
          <w:rPr>
            <w:color w:val="5574B8"/>
            <w:u w:val="single"/>
          </w:rPr>
          <w:t>Website: edgaskey.com</w:t>
        </w:r>
      </w:hyperlink>
    </w:p>
    <w:p>
      <w:r>
        <w:br w:type="page"/>
      </w:r>
    </w:p>
    <w:p>
      <w:pPr>
        <w:spacing w:before="0" w:after="140"/>
        <w:jc w:val="left"/>
      </w:pPr>
      <w:r>
        <w:rPr>
          <w:rFonts w:ascii="Aptos" w:hAnsi="Aptos" w:eastAsia="Aptos"/>
          <w:b/>
          <w:color w:val="5574B8"/>
          <w:sz w:val="17"/>
        </w:rPr>
        <w:t>RECOGNITION &amp; PRESS RESOURCES</w:t>
      </w:r>
    </w:p>
    <w:p>
      <w:pPr>
        <w:spacing w:before="0" w:after="220" w:line="252" w:lineRule="auto"/>
        <w:jc w:val="left"/>
      </w:pPr>
      <w:r>
        <w:rPr>
          <w:rFonts w:ascii="Georgia" w:hAnsi="Georgia" w:eastAsia="Georgia"/>
          <w:b w:val="0"/>
          <w:color w:val="202A3B"/>
          <w:sz w:val="58"/>
        </w:rPr>
        <w:t>Recognition</w:t>
      </w:r>
    </w:p>
    <w:tbl>
      <w:tblPr>
        <w:tblW w:type="auto" w:w="0"/>
        <w:jc w:val="center"/>
        <w:tblLayout w:type="fixed"/>
        <w:tblLook w:firstColumn="1" w:firstRow="1" w:lastColumn="0" w:lastRow="0" w:noHBand="0" w:noVBand="1" w:val="04A0"/>
      </w:tblPr>
      <w:tblGrid>
        <w:gridCol w:w="5256"/>
        <w:gridCol w:w="5256"/>
      </w:tblGrid>
      <w:tr>
        <w:tc>
          <w:tcPr>
            <w:tcW w:type="dxa" w:w="5328"/>
            <w:shd w:fill="F4F6FA"/>
            <w:tcMar>
              <w:top w:w="135" w:type="dxa"/>
              <w:start w:w="160" w:type="dxa"/>
              <w:bottom w:w="135" w:type="dxa"/>
              <w:end w:w="160" w:type="dxa"/>
            </w:tcMar>
          </w:tcPr>
          <w:p/>
          <w:p>
            <w:pPr>
              <w:spacing w:before="0" w:after="40"/>
            </w:pPr>
            <w:r>
              <w:rPr>
                <w:rFonts w:ascii="Aptos" w:hAnsi="Aptos" w:eastAsia="Aptos"/>
                <w:b/>
                <w:color w:val="D1B36A"/>
                <w:sz w:val="17"/>
              </w:rPr>
              <w:t>2026</w:t>
            </w:r>
          </w:p>
          <w:p>
            <w:pPr>
              <w:spacing w:before="0" w:after="60"/>
            </w:pPr>
            <w:r>
              <w:rPr>
                <w:rFonts w:ascii="Aptos" w:hAnsi="Aptos" w:eastAsia="Aptos"/>
                <w:b/>
                <w:color w:val="0E1829"/>
                <w:sz w:val="21"/>
              </w:rPr>
              <w:t>#73 Forbes Best-In-State Wealth Advisors</w:t>
            </w:r>
          </w:p>
          <w:p>
            <w:r>
              <w:rPr>
                <w:rFonts w:ascii="Aptos" w:hAnsi="Aptos" w:eastAsia="Aptos"/>
                <w:color w:val="5F6B7B"/>
                <w:sz w:val="17"/>
              </w:rPr>
              <w:t>Pennsylvania - West · Awarded April 2026</w:t>
            </w:r>
          </w:p>
        </w:tc>
        <w:tc>
          <w:tcPr>
            <w:tcW w:type="dxa" w:w="5328"/>
            <w:shd w:fill="FBFAF7"/>
            <w:tcMar>
              <w:top w:w="135" w:type="dxa"/>
              <w:start w:w="160" w:type="dxa"/>
              <w:bottom w:w="135" w:type="dxa"/>
              <w:end w:w="160" w:type="dxa"/>
            </w:tcMar>
          </w:tcPr>
          <w:p/>
          <w:p>
            <w:pPr>
              <w:spacing w:before="0" w:after="40"/>
            </w:pPr>
            <w:r>
              <w:rPr>
                <w:rFonts w:ascii="Aptos" w:hAnsi="Aptos" w:eastAsia="Aptos"/>
                <w:b/>
                <w:color w:val="D1B36A"/>
                <w:sz w:val="17"/>
              </w:rPr>
              <w:t>2025</w:t>
            </w:r>
          </w:p>
          <w:p>
            <w:pPr>
              <w:spacing w:before="0" w:after="60"/>
            </w:pPr>
            <w:r>
              <w:rPr>
                <w:rFonts w:ascii="Aptos" w:hAnsi="Aptos" w:eastAsia="Aptos"/>
                <w:b/>
                <w:color w:val="0E1829"/>
                <w:sz w:val="21"/>
              </w:rPr>
              <w:t>#77 Forbes Best-In-State Wealth Advisors</w:t>
            </w:r>
          </w:p>
          <w:p>
            <w:r>
              <w:rPr>
                <w:rFonts w:ascii="Aptos" w:hAnsi="Aptos" w:eastAsia="Aptos"/>
                <w:color w:val="5F6B7B"/>
                <w:sz w:val="17"/>
              </w:rPr>
              <w:t>Pennsylvania - West · Awarded April 2025</w:t>
            </w:r>
          </w:p>
        </w:tc>
      </w:tr>
      <w:tr>
        <w:tc>
          <w:tcPr>
            <w:tcW w:type="dxa" w:w="5328"/>
            <w:shd w:fill="F4F6FA"/>
            <w:tcMar>
              <w:top w:w="135" w:type="dxa"/>
              <w:start w:w="160" w:type="dxa"/>
              <w:bottom w:w="135" w:type="dxa"/>
              <w:end w:w="160" w:type="dxa"/>
            </w:tcMar>
          </w:tcPr>
          <w:p/>
          <w:p>
            <w:pPr>
              <w:spacing w:before="0" w:after="40"/>
            </w:pPr>
            <w:r>
              <w:rPr>
                <w:rFonts w:ascii="Aptos" w:hAnsi="Aptos" w:eastAsia="Aptos"/>
                <w:b/>
                <w:color w:val="D1B36A"/>
                <w:sz w:val="17"/>
              </w:rPr>
              <w:t>2026</w:t>
            </w:r>
          </w:p>
          <w:p>
            <w:pPr>
              <w:spacing w:before="0" w:after="60"/>
            </w:pPr>
            <w:r>
              <w:rPr>
                <w:rFonts w:ascii="Aptos" w:hAnsi="Aptos" w:eastAsia="Aptos"/>
                <w:b/>
                <w:color w:val="0E1829"/>
                <w:sz w:val="21"/>
              </w:rPr>
              <w:t>Team Member - Forbes Best-In-State Wealth Management Teams</w:t>
            </w:r>
          </w:p>
          <w:p>
            <w:r>
              <w:rPr>
                <w:rFonts w:ascii="Aptos" w:hAnsi="Aptos" w:eastAsia="Aptos"/>
                <w:color w:val="5F6B7B"/>
                <w:sz w:val="17"/>
              </w:rPr>
              <w:t>Awarded January 2026</w:t>
            </w:r>
          </w:p>
        </w:tc>
        <w:tc>
          <w:tcPr>
            <w:tcW w:type="dxa" w:w="5328"/>
            <w:shd w:fill="FBFAF7"/>
            <w:tcMar>
              <w:top w:w="135" w:type="dxa"/>
              <w:start w:w="160" w:type="dxa"/>
              <w:bottom w:w="135" w:type="dxa"/>
              <w:end w:w="160" w:type="dxa"/>
            </w:tcMar>
          </w:tcPr>
          <w:p/>
          <w:p>
            <w:pPr>
              <w:spacing w:before="0" w:after="40"/>
            </w:pPr>
            <w:r>
              <w:rPr>
                <w:rFonts w:ascii="Aptos" w:hAnsi="Aptos" w:eastAsia="Aptos"/>
                <w:b/>
                <w:color w:val="D1B36A"/>
                <w:sz w:val="17"/>
              </w:rPr>
              <w:t>2025</w:t>
            </w:r>
          </w:p>
          <w:p>
            <w:pPr>
              <w:spacing w:before="0" w:after="60"/>
            </w:pPr>
            <w:r>
              <w:rPr>
                <w:rFonts w:ascii="Aptos" w:hAnsi="Aptos" w:eastAsia="Aptos"/>
                <w:b/>
                <w:color w:val="0E1829"/>
                <w:sz w:val="21"/>
              </w:rPr>
              <w:t>Team Member - Forbes Best-In-State Wealth Management Teams</w:t>
            </w:r>
          </w:p>
          <w:p>
            <w:r>
              <w:rPr>
                <w:rFonts w:ascii="Aptos" w:hAnsi="Aptos" w:eastAsia="Aptos"/>
                <w:color w:val="5F6B7B"/>
                <w:sz w:val="17"/>
              </w:rPr>
              <w:t>Awarded January 2025</w:t>
            </w:r>
          </w:p>
        </w:tc>
      </w:tr>
    </w:tbl>
    <w:p>
      <w:pPr>
        <w:spacing w:before="0" w:after="240" w:line="293" w:lineRule="auto"/>
      </w:pPr>
      <w:r>
        <w:rPr>
          <w:rFonts w:ascii="Aptos" w:hAnsi="Aptos" w:eastAsia="Aptos"/>
          <w:b w:val="0"/>
          <w:i w:val="0"/>
          <w:color w:val="5F6B7B"/>
          <w:sz w:val="14"/>
        </w:rPr>
        <w:t>Forbes rankings are independently determined by SHOOK Research. Advisors do not pay a fee for placement on Forbes Top Advisor rankings. 2026 Best-In-State Wealth Advisors: data compiled for the period 6/30/24–6/30/25. 2025 Best-In-State Wealth Advisors: data compiled for the period 6/30/23–6/30/24. 2026 Best-In-State Wealth Management Teams: research period 3/31/24–3/31/25. 2025 team recognition: research period 3/31/23–3/31/24.</w:t>
      </w:r>
    </w:p>
    <w:p>
      <w:pPr>
        <w:spacing w:before="0" w:after="140"/>
        <w:jc w:val="left"/>
      </w:pPr>
      <w:r>
        <w:rPr>
          <w:rFonts w:ascii="Aptos" w:hAnsi="Aptos" w:eastAsia="Aptos"/>
          <w:b/>
          <w:color w:val="5574B8"/>
          <w:sz w:val="17"/>
        </w:rPr>
        <w:t>APPROVED MEDIA ASSETS</w:t>
      </w:r>
    </w:p>
    <w:tbl>
      <w:tblPr>
        <w:tblW w:type="auto" w:w="0"/>
        <w:jc w:val="center"/>
        <w:tblLayout w:type="fixed"/>
        <w:tblLook w:firstColumn="1" w:firstRow="1" w:lastColumn="0" w:lastRow="0" w:noHBand="0" w:noVBand="1" w:val="04A0"/>
      </w:tblPr>
      <w:tblGrid>
        <w:gridCol w:w="3456"/>
        <w:gridCol w:w="3456"/>
        <w:gridCol w:w="3456"/>
      </w:tblGrid>
      <w:tr>
        <w:tc>
          <w:tcPr>
            <w:tcW w:type="dxa" w:w="3552"/>
            <w:tcMar>
              <w:top w:w="100" w:type="dxa"/>
              <w:start w:w="100" w:type="dxa"/>
              <w:bottom w:w="100" w:type="dxa"/>
              <w:end w:w="100" w:type="dxa"/>
            </w:tcMar>
            <w:tcBorders>
              <w:top w:val="single" w:sz="4" w:color="D9DEE8"/>
              <w:bottom w:val="single" w:sz="4" w:color="D9DEE8"/>
              <w:left w:val="single" w:sz="4" w:color="D9DEE8"/>
              <w:right w:val="single" w:sz="4" w:color="D9DEE8"/>
            </w:tcBorders>
          </w:tcPr>
          <w:p/>
          <w:p>
            <w:pPr>
              <w:jc w:val="center"/>
            </w:pPr>
            <w:r>
              <w:drawing>
                <wp:inline xmlns:a="http://schemas.openxmlformats.org/drawingml/2006/main" xmlns:pic="http://schemas.openxmlformats.org/drawingml/2006/picture">
                  <wp:extent cx="1261872" cy="1923267"/>
                  <wp:docPr id="5" name="Picture 5" descr="Portrait Headshot"/>
                  <wp:cNvGraphicFramePr>
                    <a:graphicFrameLocks noChangeAspect="1"/>
                  </wp:cNvGraphicFramePr>
                  <a:graphic>
                    <a:graphicData uri="http://schemas.openxmlformats.org/drawingml/2006/picture">
                      <pic:pic>
                        <pic:nvPicPr>
                          <pic:cNvPr id="0" name="eds-headshot.jpg"/>
                          <pic:cNvPicPr/>
                        </pic:nvPicPr>
                        <pic:blipFill>
                          <a:blip r:embed="rId12"/>
                          <a:stretch>
                            <a:fillRect/>
                          </a:stretch>
                        </pic:blipFill>
                        <pic:spPr>
                          <a:xfrm>
                            <a:off x="0" y="0"/>
                            <a:ext cx="1261872" cy="1923267"/>
                          </a:xfrm>
                          <a:prstGeom prst="rect"/>
                        </pic:spPr>
                      </pic:pic>
                    </a:graphicData>
                  </a:graphic>
                </wp:inline>
              </w:drawing>
            </w:r>
          </w:p>
          <w:p>
            <w:pPr>
              <w:jc w:val="center"/>
            </w:pPr>
            <w:r>
              <w:rPr>
                <w:rFonts w:ascii="Aptos" w:hAnsi="Aptos" w:eastAsia="Aptos"/>
                <w:b/>
                <w:color w:val="0E1829"/>
                <w:sz w:val="17"/>
              </w:rPr>
              <w:t>Portrait Headshot</w:t>
            </w:r>
          </w:p>
          <w:p>
            <w:pPr>
              <w:jc w:val="center"/>
            </w:pPr>
            <w:r>
              <w:rPr>
                <w:rFonts w:ascii="Aptos" w:hAnsi="Aptos" w:eastAsia="Aptos"/>
                <w:color w:val="5F6B7B"/>
                <w:sz w:val="15"/>
              </w:rPr>
              <w:t>High-resolution portrait</w:t>
            </w:r>
          </w:p>
        </w:tc>
        <w:tc>
          <w:tcPr>
            <w:tcW w:type="dxa" w:w="3552"/>
            <w:tcMar>
              <w:top w:w="100" w:type="dxa"/>
              <w:start w:w="100" w:type="dxa"/>
              <w:bottom w:w="100" w:type="dxa"/>
              <w:end w:w="100" w:type="dxa"/>
            </w:tcMar>
            <w:tcBorders>
              <w:top w:val="single" w:sz="4" w:color="D9DEE8"/>
              <w:bottom w:val="single" w:sz="4" w:color="D9DEE8"/>
              <w:left w:val="single" w:sz="4" w:color="D9DEE8"/>
              <w:right w:val="single" w:sz="4" w:color="D9DEE8"/>
            </w:tcBorders>
          </w:tcPr>
          <w:p/>
          <w:p>
            <w:pPr>
              <w:jc w:val="center"/>
            </w:pPr>
            <w:r>
              <w:drawing>
                <wp:inline xmlns:a="http://schemas.openxmlformats.org/drawingml/2006/main" xmlns:pic="http://schemas.openxmlformats.org/drawingml/2006/picture">
                  <wp:extent cx="1261872" cy="1896567"/>
                  <wp:docPr id="6" name="Picture 6" descr="Book Cover"/>
                  <wp:cNvGraphicFramePr>
                    <a:graphicFrameLocks noChangeAspect="1"/>
                  </wp:cNvGraphicFramePr>
                  <a:graphic>
                    <a:graphicData uri="http://schemas.openxmlformats.org/drawingml/2006/picture">
                      <pic:pic>
                        <pic:nvPicPr>
                          <pic:cNvPr id="0" name="book-cover.png"/>
                          <pic:cNvPicPr/>
                        </pic:nvPicPr>
                        <pic:blipFill>
                          <a:blip r:embed="rId13"/>
                          <a:stretch>
                            <a:fillRect/>
                          </a:stretch>
                        </pic:blipFill>
                        <pic:spPr>
                          <a:xfrm>
                            <a:off x="0" y="0"/>
                            <a:ext cx="1261872" cy="1896567"/>
                          </a:xfrm>
                          <a:prstGeom prst="rect"/>
                        </pic:spPr>
                      </pic:pic>
                    </a:graphicData>
                  </a:graphic>
                </wp:inline>
              </w:drawing>
            </w:r>
          </w:p>
          <w:p>
            <w:pPr>
              <w:jc w:val="center"/>
            </w:pPr>
            <w:r>
              <w:rPr>
                <w:rFonts w:ascii="Aptos" w:hAnsi="Aptos" w:eastAsia="Aptos"/>
                <w:b/>
                <w:color w:val="0E1829"/>
                <w:sz w:val="17"/>
              </w:rPr>
              <w:t>Book Cover</w:t>
            </w:r>
          </w:p>
          <w:p>
            <w:pPr>
              <w:jc w:val="center"/>
            </w:pPr>
            <w:r>
              <w:rPr>
                <w:rFonts w:ascii="Aptos" w:hAnsi="Aptos" w:eastAsia="Aptos"/>
                <w:color w:val="5F6B7B"/>
                <w:sz w:val="15"/>
              </w:rPr>
              <w:t>Creating Your Next Chapter</w:t>
            </w:r>
          </w:p>
        </w:tc>
        <w:tc>
          <w:tcPr>
            <w:tcW w:type="dxa" w:w="3552"/>
            <w:tcMar>
              <w:top w:w="100" w:type="dxa"/>
              <w:start w:w="100" w:type="dxa"/>
              <w:bottom w:w="100" w:type="dxa"/>
              <w:end w:w="100" w:type="dxa"/>
            </w:tcMar>
            <w:tcBorders>
              <w:top w:val="single" w:sz="4" w:color="D9DEE8"/>
              <w:bottom w:val="single" w:sz="4" w:color="D9DEE8"/>
              <w:left w:val="single" w:sz="4" w:color="D9DEE8"/>
              <w:right w:val="single" w:sz="4" w:color="D9DEE8"/>
            </w:tcBorders>
          </w:tcPr>
          <w:p/>
          <w:p>
            <w:pPr>
              <w:jc w:val="center"/>
            </w:pPr>
            <w:r>
              <w:drawing>
                <wp:inline xmlns:a="http://schemas.openxmlformats.org/drawingml/2006/main" xmlns:pic="http://schemas.openxmlformats.org/drawingml/2006/picture">
                  <wp:extent cx="1261872" cy="1261872"/>
                  <wp:docPr id="7" name="Picture 7" descr="Podcast Cover"/>
                  <wp:cNvGraphicFramePr>
                    <a:graphicFrameLocks noChangeAspect="1"/>
                  </wp:cNvGraphicFramePr>
                  <a:graphic>
                    <a:graphicData uri="http://schemas.openxmlformats.org/drawingml/2006/picture">
                      <pic:pic>
                        <pic:nvPicPr>
                          <pic:cNvPr id="0" name="podcast-cover.png"/>
                          <pic:cNvPicPr/>
                        </pic:nvPicPr>
                        <pic:blipFill>
                          <a:blip r:embed="rId15"/>
                          <a:stretch>
                            <a:fillRect/>
                          </a:stretch>
                        </pic:blipFill>
                        <pic:spPr>
                          <a:xfrm>
                            <a:off x="0" y="0"/>
                            <a:ext cx="1261872" cy="1261872"/>
                          </a:xfrm>
                          <a:prstGeom prst="rect"/>
                        </pic:spPr>
                      </pic:pic>
                    </a:graphicData>
                  </a:graphic>
                </wp:inline>
              </w:drawing>
            </w:r>
          </w:p>
          <w:p>
            <w:pPr>
              <w:jc w:val="center"/>
            </w:pPr>
            <w:r>
              <w:rPr>
                <w:rFonts w:ascii="Aptos" w:hAnsi="Aptos" w:eastAsia="Aptos"/>
                <w:b/>
                <w:color w:val="0E1829"/>
                <w:sz w:val="17"/>
              </w:rPr>
              <w:t>Podcast Cover</w:t>
            </w:r>
          </w:p>
          <w:p>
            <w:pPr>
              <w:jc w:val="center"/>
            </w:pPr>
            <w:r>
              <w:rPr>
                <w:rFonts w:ascii="Aptos" w:hAnsi="Aptos" w:eastAsia="Aptos"/>
                <w:color w:val="5F6B7B"/>
                <w:sz w:val="15"/>
              </w:rPr>
              <w:t>Creating Your Next Chapter podcast</w:t>
            </w:r>
          </w:p>
        </w:tc>
      </w:tr>
    </w:tbl>
    <w:p>
      <w:pPr>
        <w:spacing w:before="0" w:after="140"/>
        <w:jc w:val="left"/>
      </w:pPr>
      <w:r>
        <w:rPr>
          <w:rFonts w:ascii="Aptos" w:hAnsi="Aptos" w:eastAsia="Aptos"/>
          <w:b/>
          <w:color w:val="5574B8"/>
          <w:sz w:val="17"/>
        </w:rPr>
        <w:t>MEDIA INQUIRIES</w:t>
      </w:r>
    </w:p>
    <w:p>
      <w:pPr>
        <w:spacing w:before="0" w:after="80"/>
      </w:pPr>
      <w:r>
        <w:rPr>
          <w:rFonts w:ascii="Aptos" w:hAnsi="Aptos" w:eastAsia="Aptos"/>
          <w:color w:val="202A3B"/>
          <w:sz w:val="20"/>
        </w:rPr>
        <w:t xml:space="preserve">For interviews, podcast appearances, press requests, and general media inquiries: </w:t>
      </w:r>
      <w:hyperlink r:id="rId18">
        <w:r>
          <w:rPr>
            <w:color w:val="5574B8"/>
            <w:u w:val="single"/>
            <w:b/>
          </w:rPr>
          <w:t>edgaskey.com/contact</w:t>
        </w:r>
      </w:hyperlink>
    </w:p>
    <w:p>
      <w:hyperlink r:id="rId11">
        <w:r>
          <w:rPr>
            <w:color w:val="5574B8"/>
            <w:b/>
          </w:rPr>
          <w:t>www.edgaskey.com</w:t>
        </w:r>
      </w:hyperlink>
    </w:p>
    <w:sectPr w:rsidR="00FC693F" w:rsidRPr="0006063C" w:rsidSect="00034616">
      <w:headerReference w:type="default" r:id="rId9"/>
      <w:footerReference w:type="default" r:id="rId10"/>
      <w:pgSz w:w="12240" w:h="15840"/>
      <w:pgMar w:top="691" w:right="792" w:bottom="691" w:left="792" w:header="259" w:footer="31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eastAsia="Aptos"/>
        <w:b/>
        <w:color w:val="5F6B7B"/>
        <w:sz w:val="14"/>
      </w:rPr>
      <w:t xml:space="preserve">EDGASKEY.COM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eastAsia="Aptos"/>
        <w:b/>
        <w:color w:val="5F6B7B"/>
        <w:sz w:val="14"/>
      </w:rPr>
      <w:t>ED GASKEY  /  MEDIA KIT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color w:val="202A3B"/>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edgaskey.com" TargetMode="Externa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hyperlink" Target="https://www.edgaskey.com/book" TargetMode="External"/><Relationship Id="rId15" Type="http://schemas.openxmlformats.org/officeDocument/2006/relationships/image" Target="media/image3.png"/><Relationship Id="rId16" Type="http://schemas.openxmlformats.org/officeDocument/2006/relationships/hyperlink" Target="https://www.edgaskey.com/podcast" TargetMode="External"/><Relationship Id="rId17" Type="http://schemas.openxmlformats.org/officeDocument/2006/relationships/hyperlink" Target="https://www.edgaskey.com/blog" TargetMode="External"/><Relationship Id="rId18" Type="http://schemas.openxmlformats.org/officeDocument/2006/relationships/hyperlink" Target="https://www.edgaskey.com/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